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smallCaps w:val="0"/>
          <w:rtl w:val="0"/>
        </w:rPr>
        <w:t xml:space="preserve">Io sottoscritto/a (nome e cognome genitore) ........................................................   in qualità di padre/madre/tutore di …................................................., iscritto per l'anno scout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mallCaps w:val="0"/>
          <w:rtl w:val="0"/>
        </w:rPr>
        <w:t xml:space="preserve">/201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smallCaps w:val="0"/>
          <w:rtl w:val="0"/>
        </w:rPr>
        <w:t xml:space="preserve"> al gruppo scout Agesci Varese 8, autorizzo i capi censiti nel suddetto gruppo a somministrare a mio figlio/a, durante le attività  scout ed in caso di effettiva necessità, i seguenti medicinali di automedicazione (non soggetti a ricetta medica):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747"/>
        <w:gridCol w:w="1903"/>
        <w:gridCol w:w="4530"/>
        <w:tblGridChange w:id="0">
          <w:tblGrid>
            <w:gridCol w:w="465"/>
            <w:gridCol w:w="2747"/>
            <w:gridCol w:w="1903"/>
            <w:gridCol w:w="4530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Principio attivo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Indicazioni terapeutiche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Fenistil gel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Dimetidene maleato (FU)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Trattamento sintomatico locale di dermatiti pruriginose, eritema solare, punture d'insetto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Fitostimoline (crema e garze impregnate)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Triticum volgare; fenossietanolo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cicatrizzante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Paracetamolo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Paracetamolo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Analgesico e antipiretico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Cetirizina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Cetirizina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Trattamento delle riniti allergiche e vasomotorie, prevenzione dell'orticaria, trattaemnto delle eruzioni allergiche cutanee, del prurito e delle punture d'insetto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Betadine crema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Iodopovidone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Antisettico ad ampio spettro per la prevenzione ed il trattamento infezioni di piccoli tagli, abrasioni ed ustioni di area limitata. Trattamento di infezioni cutanee micotiche e piodermiti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Lattulosio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Lattulosio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Trattamento a breve termine della stitichezza ocasionale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Arnica gel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Arnica, menta piperita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Gel rinfrescante e idratante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Ossido di zinco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Ossido di zinco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Irritazioni cutanee ed arrossamenti; lenitiva degli stati dolorifici (botte)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[  ]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Gentalyn  crema*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Gentamicina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Antibiotico ad ampio spettro: trattamento di infiammazioni cutanee associate ad infezioni batteriche e di ustioni, escoriazioni e ferite già infette o a rischio di contaminazione batterica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smallCaps w:val="0"/>
          <w:rtl w:val="0"/>
        </w:rPr>
        <w:t xml:space="preserve">La presente autorizzazione si intende valida anche per gli anni successivi, salvo diversa decisione dell'interessato, da comunicarsi , anche oralmente, ai capi-gruppo.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smallCaps w:val="0"/>
          <w:rtl w:val="0"/>
        </w:rPr>
        <w:tab/>
        <w:t xml:space="preserve">Firma</w:t>
        <w:tab/>
        <w:tab/>
        <w:tab/>
        <w:tab/>
        <w:tab/>
        <w:tab/>
        <w:tab/>
        <w:tab/>
        <w:tab/>
        <w:tab/>
        <w:t xml:space="preserve">Data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smallCaps w:val="0"/>
          <w:rtl w:val="0"/>
        </w:rPr>
        <w:t xml:space="preserve">…...............................                                                                              ….......................................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both"/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* Il Gentalin sarebbe un medicinale soggetto a prescrizione medica, ma sarà utilizzato come farmaco di primo soccorso per il trattamento di infiammazioni di estensione estremamente limitata</w:t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